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Lessebo kommunfullmäktige</w:t>
      </w:r>
    </w:p>
    <w:p>
      <w:pPr>
        <w:pStyle w:val="Heading1"/>
      </w:pPr>
      <w:r>
        <w:t xml:space="preserve">Satsning på cykel-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Lessebo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Region Kronobergs trafikplan visar bristande cykelvägar mellan tätorterna. Kollektivtrafiken har låg turtäthet vilket försvårar pendling.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Lessebo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Lessebo kommunfullmäktige beslutar att ta fram en cykelplan för sträckorna Lessebo–Hovmantorp och Lessebo–Skruv.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begär ökad turtäthet hos Region Kronoberg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1,5 mnkr avsätts för cykelvägsunderhåll 2027–2029.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cykeltrafikens andel redovisas.</w:t>
      </w:r>
    </w:p>
    <w:p>
      <w:pPr>
        <w:spacing w:before="360"/>
      </w:pPr>
    </w:p>
    <w:p>
      <w:r>
        <w:t xml:space="preserve">Lessebo,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Lessebo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2026-07-14T04:13:22.962Z</dcterms:created>
  <dcterms:modified xsi:type="dcterms:W3CDTF">2026-07-14T04:13:22.962Z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